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pro reklamaci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60"/>
          <w:szCs w:val="6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 xml:space="preserve">t: </w:t>
      </w:r>
      <w:r>
        <w:rPr>
          <w:rFonts w:ascii="Arial" w:hAnsi="Arial"/>
          <w:sz w:val="20"/>
          <w:szCs w:val="20"/>
          <w:rtl w:val="0"/>
        </w:rPr>
        <w:t>ACROBAT studio s.r.o., Petr Pernica, Doln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Palava 2569/36, 678 01 Blansko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Uplatn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reklamace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78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Popis vad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rove</w:t>
      </w:r>
      <w:r>
        <w:rPr>
          <w:rFonts w:ascii="Arial" w:hAnsi="Arial" w:hint="default"/>
          <w:sz w:val="20"/>
          <w:szCs w:val="20"/>
          <w:rtl w:val="0"/>
        </w:rPr>
        <w:t>ň žá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 o vystaven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potvrzen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 uplatn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 s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uveden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m, kdy jsem toto pr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vo uplatnil, co je obsahem reklamace, jak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zp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sob vy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 po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aduji, spolu s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uveden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m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kontaktn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de-DE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 xml:space="preserve">pro </w:t>
      </w:r>
      <w:r>
        <w:rPr>
          <w:rFonts w:ascii="Arial" w:hAnsi="Arial" w:hint="default"/>
          <w:sz w:val="20"/>
          <w:szCs w:val="20"/>
          <w:rtl w:val="0"/>
        </w:rPr>
        <w:t>úč</w:t>
      </w:r>
      <w:r>
        <w:rPr>
          <w:rFonts w:ascii="Arial" w:hAnsi="Arial"/>
          <w:sz w:val="20"/>
          <w:szCs w:val="20"/>
          <w:rtl w:val="0"/>
        </w:rPr>
        <w:t>ely poskytnut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informace o vy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Datum: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Arial" w:hAnsi="Arial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